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024345">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Pr="002D4CDB"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Pr="002D4CDB"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024345">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66188B">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024345">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66188B">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66188B">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66188B">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66188B">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66188B" w:rsidRDefault="006F4B96" w:rsidP="0066188B">
            <w:pPr>
              <w:pStyle w:val="Odsekzoznamu"/>
              <w:numPr>
                <w:ilvl w:val="0"/>
                <w:numId w:val="6"/>
              </w:numPr>
              <w:ind w:left="313" w:hanging="284"/>
              <w:rPr>
                <w:rFonts w:ascii="Calibri" w:hAnsi="Calibri" w:cs="Calibri"/>
                <w:i/>
                <w:color w:val="0000FF"/>
                <w:sz w:val="18"/>
                <w:szCs w:val="18"/>
              </w:rPr>
            </w:pPr>
            <w:r w:rsidRPr="0066188B">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66188B">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66188B">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66188B">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66188B">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66188B">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66188B">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66188B">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66188B">
            <w:pPr>
              <w:spacing w:after="60"/>
              <w:rPr>
                <w:rFonts w:asciiTheme="minorHAnsi" w:hAnsiTheme="minorHAnsi" w:cstheme="minorHAnsi"/>
                <w:sz w:val="18"/>
                <w:szCs w:val="18"/>
              </w:rPr>
            </w:pPr>
            <w:r w:rsidRPr="0066188B">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66188B">
              <w:rPr>
                <w:rFonts w:asciiTheme="minorHAnsi" w:hAnsiTheme="minorHAnsi" w:cstheme="minorHAnsi"/>
                <w:i/>
                <w:sz w:val="18"/>
                <w:szCs w:val="18"/>
              </w:rPr>
              <w:t>(</w:t>
            </w:r>
            <w:r w:rsidRPr="0066188B">
              <w:rPr>
                <w:rFonts w:asciiTheme="minorHAnsi" w:hAnsiTheme="minorHAnsi" w:cstheme="minorHAnsi"/>
                <w:i/>
                <w:color w:val="0000FF"/>
                <w:sz w:val="18"/>
                <w:szCs w:val="18"/>
              </w:rPr>
              <w:t>výber z</w:t>
            </w:r>
            <w:r w:rsidR="0086757D" w:rsidRPr="0066188B">
              <w:rPr>
                <w:rFonts w:asciiTheme="minorHAnsi" w:hAnsiTheme="minorHAnsi" w:cstheme="minorHAnsi"/>
                <w:i/>
                <w:color w:val="0000FF"/>
                <w:sz w:val="18"/>
                <w:szCs w:val="18"/>
              </w:rPr>
              <w:t> </w:t>
            </w:r>
            <w:r w:rsidRPr="0066188B">
              <w:rPr>
                <w:rFonts w:asciiTheme="minorHAnsi" w:hAnsiTheme="minorHAnsi" w:cstheme="minorHAnsi"/>
                <w:i/>
                <w:color w:val="0000FF"/>
                <w:sz w:val="18"/>
                <w:szCs w:val="18"/>
              </w:rPr>
              <w:t>číselníka</w:t>
            </w:r>
            <w:r w:rsidR="0086757D" w:rsidRPr="0066188B">
              <w:rPr>
                <w:rFonts w:asciiTheme="minorHAnsi" w:hAnsiTheme="minorHAnsi" w:cstheme="minorHAnsi"/>
                <w:i/>
                <w:color w:val="0000FF"/>
                <w:sz w:val="18"/>
                <w:szCs w:val="18"/>
              </w:rPr>
              <w:t xml:space="preserve"> z Prí</w:t>
            </w:r>
            <w:r w:rsidR="004A5D72" w:rsidRPr="0066188B">
              <w:rPr>
                <w:rFonts w:asciiTheme="minorHAnsi" w:hAnsiTheme="minorHAnsi" w:cstheme="minorHAnsi"/>
                <w:i/>
                <w:color w:val="0000FF"/>
                <w:sz w:val="18"/>
                <w:szCs w:val="18"/>
              </w:rPr>
              <w:t>ru</w:t>
            </w:r>
            <w:r w:rsidR="0086757D" w:rsidRPr="0066188B">
              <w:rPr>
                <w:rFonts w:asciiTheme="minorHAnsi" w:hAnsiTheme="minorHAnsi" w:cstheme="minorHAnsi"/>
                <w:i/>
                <w:color w:val="0000FF"/>
                <w:sz w:val="18"/>
                <w:szCs w:val="18"/>
              </w:rPr>
              <w:t>čk</w:t>
            </w:r>
            <w:r w:rsidR="004A5D72" w:rsidRPr="0066188B">
              <w:rPr>
                <w:rFonts w:asciiTheme="minorHAnsi" w:hAnsiTheme="minorHAnsi" w:cstheme="minorHAnsi"/>
                <w:i/>
                <w:color w:val="0000FF"/>
                <w:sz w:val="18"/>
                <w:szCs w:val="18"/>
              </w:rPr>
              <w:t>y</w:t>
            </w:r>
            <w:r w:rsidR="0086757D" w:rsidRPr="0066188B">
              <w:rPr>
                <w:rFonts w:asciiTheme="minorHAnsi" w:hAnsiTheme="minorHAnsi" w:cstheme="minorHAnsi"/>
                <w:i/>
                <w:color w:val="0000FF"/>
                <w:sz w:val="18"/>
                <w:szCs w:val="18"/>
              </w:rPr>
              <w:t xml:space="preserve"> pre žiadateľov o poskytnutie NFP</w:t>
            </w:r>
            <w:r w:rsidRPr="0066188B">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66188B">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66188B">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66188B">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rsidP="00A65F9C">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 xml:space="preserve">Hodnota sa uvádza za celé verejné obstarávania bez ohľadu na skutočnosť, či bolo vykonané celé výlučne len pre účely </w:t>
            </w:r>
            <w:r w:rsidRPr="002D4CDB">
              <w:rPr>
                <w:rFonts w:asciiTheme="minorHAnsi" w:hAnsiTheme="minorHAnsi" w:cstheme="minorHAnsi"/>
                <w:sz w:val="18"/>
                <w:szCs w:val="18"/>
              </w:rPr>
              <w:lastRenderedPageBreak/>
              <w:t>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lastRenderedPageBreak/>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lastRenderedPageBreak/>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66188B">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66188B" w:rsidRPr="002D4CDB" w:rsidRDefault="0066188B" w:rsidP="00231C62">
            <w:pPr>
              <w:rPr>
                <w:rFonts w:asciiTheme="minorHAnsi" w:hAnsiTheme="minorHAnsi" w:cstheme="minorHAnsi"/>
                <w:b/>
                <w:bCs/>
                <w:color w:val="FFFFFF" w:themeColor="background1"/>
              </w:rPr>
            </w:pPr>
            <w:r w:rsidRPr="005A67DF">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66188B">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66188B">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66188B">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w:t>
            </w:r>
            <w:r w:rsidRPr="001A25E0">
              <w:rPr>
                <w:rFonts w:asciiTheme="minorHAnsi" w:hAnsiTheme="minorHAnsi"/>
                <w:sz w:val="20"/>
                <w:szCs w:val="20"/>
              </w:rPr>
              <w:lastRenderedPageBreak/>
              <w:t>ŽoNFP v rámci OPII</w:t>
            </w:r>
          </w:p>
        </w:tc>
      </w:tr>
      <w:tr w:rsidR="00E00461" w:rsidRPr="002D4CDB" w:rsidTr="0066188B">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lastRenderedPageBreak/>
              <w:t>4</w:t>
            </w:r>
          </w:p>
        </w:tc>
        <w:tc>
          <w:tcPr>
            <w:tcW w:w="6378" w:type="dxa"/>
          </w:tcPr>
          <w:p w:rsidR="00E00461" w:rsidRPr="00E07F7F" w:rsidRDefault="00E00461" w:rsidP="0066188B">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66188B">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66188B">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6188B">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66188B">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lastRenderedPageBreak/>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66188B">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024345"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2E333C">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66188B">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66188B">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66188B">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w:t>
            </w:r>
            <w:r w:rsidRPr="002D4739">
              <w:rPr>
                <w:rFonts w:asciiTheme="minorHAnsi" w:hAnsiTheme="minorHAnsi"/>
                <w:color w:val="auto"/>
                <w:sz w:val="20"/>
                <w:szCs w:val="20"/>
              </w:rPr>
              <w:lastRenderedPageBreak/>
              <w:t>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66188B">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lastRenderedPageBreak/>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66188B">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ED1640" w:rsidRPr="002D4CDB" w:rsidTr="00ED1640">
        <w:trPr>
          <w:gridAfter w:val="1"/>
          <w:wAfter w:w="12" w:type="dxa"/>
          <w:trHeight w:val="165"/>
        </w:trPr>
        <w:tc>
          <w:tcPr>
            <w:tcW w:w="421" w:type="dxa"/>
          </w:tcPr>
          <w:p w:rsidR="00ED1640" w:rsidRPr="002D4CDB" w:rsidRDefault="00ED1640" w:rsidP="00ED1640">
            <w:pPr>
              <w:rPr>
                <w:rFonts w:asciiTheme="minorHAnsi" w:hAnsiTheme="minorHAnsi" w:cstheme="minorHAnsi"/>
                <w:sz w:val="18"/>
                <w:szCs w:val="18"/>
              </w:rPr>
            </w:pPr>
            <w:r>
              <w:rPr>
                <w:rFonts w:asciiTheme="minorHAnsi" w:hAnsiTheme="minorHAnsi" w:cstheme="minorHAnsi"/>
                <w:sz w:val="20"/>
                <w:szCs w:val="20"/>
              </w:rPr>
              <w:t>20</w:t>
            </w:r>
          </w:p>
        </w:tc>
        <w:tc>
          <w:tcPr>
            <w:tcW w:w="6378" w:type="dxa"/>
          </w:tcPr>
          <w:p w:rsidR="00ED1640" w:rsidRPr="00B768E6" w:rsidRDefault="00ED1640" w:rsidP="00ED1640">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ED1640" w:rsidRPr="003A3A06" w:rsidRDefault="00ED1640" w:rsidP="00ED1640">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ED1640" w:rsidRPr="00E07F7F" w:rsidRDefault="00ED1640" w:rsidP="00ED1640">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B93A33">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2</w:t>
            </w:r>
            <w:r w:rsidR="00610BAD">
              <w:rPr>
                <w:rFonts w:asciiTheme="minorHAnsi" w:hAnsiTheme="minorHAnsi" w:cstheme="minorHAnsi"/>
                <w:sz w:val="20"/>
                <w:szCs w:val="20"/>
              </w:rPr>
              <w:t>3</w:t>
            </w:r>
          </w:p>
        </w:tc>
        <w:tc>
          <w:tcPr>
            <w:tcW w:w="6378" w:type="dxa"/>
          </w:tcPr>
          <w:p w:rsidR="00E00461" w:rsidRPr="00C30617" w:rsidDel="00E00461" w:rsidRDefault="00E00461" w:rsidP="00B93A33">
            <w:pPr>
              <w:rPr>
                <w:rFonts w:cs="Times New Roman"/>
                <w:color w:val="000000" w:themeColor="text1"/>
                <w:sz w:val="18"/>
                <w:szCs w:val="18"/>
              </w:rPr>
            </w:pPr>
            <w:r w:rsidRPr="00C30617">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2644A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18"/>
                <w:szCs w:val="18"/>
              </w:rPr>
              <w:t>2</w:t>
            </w:r>
            <w:r w:rsidR="00610BAD">
              <w:rPr>
                <w:rFonts w:asciiTheme="minorHAnsi" w:hAnsiTheme="minorHAnsi" w:cstheme="minorHAnsi"/>
                <w:sz w:val="18"/>
                <w:szCs w:val="18"/>
              </w:rPr>
              <w:t>4</w:t>
            </w:r>
          </w:p>
        </w:tc>
        <w:tc>
          <w:tcPr>
            <w:tcW w:w="6378" w:type="dxa"/>
          </w:tcPr>
          <w:p w:rsidR="00E00461" w:rsidRPr="00C30617" w:rsidDel="00E00461" w:rsidRDefault="00E00461" w:rsidP="00B93A33">
            <w:pPr>
              <w:rPr>
                <w:rFonts w:cs="Times New Roman"/>
                <w:color w:val="000000" w:themeColor="text1"/>
                <w:sz w:val="18"/>
                <w:szCs w:val="18"/>
              </w:rPr>
            </w:pPr>
            <w:r w:rsidRPr="00C30617">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2644A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r w:rsidRPr="00BC019B">
              <w:rPr>
                <w:rFonts w:asciiTheme="minorHAnsi" w:hAnsiTheme="minorHAnsi"/>
                <w:b/>
                <w:sz w:val="20"/>
                <w:szCs w:val="20"/>
              </w:rPr>
              <w:t>.</w:t>
            </w:r>
          </w:p>
        </w:tc>
      </w:tr>
      <w:tr w:rsidR="00AE1D8D" w:rsidRPr="002D4CDB" w:rsidTr="00AE1D8D">
        <w:trPr>
          <w:gridAfter w:val="1"/>
          <w:wAfter w:w="12" w:type="dxa"/>
          <w:trHeight w:val="368"/>
        </w:trPr>
        <w:tc>
          <w:tcPr>
            <w:tcW w:w="421" w:type="dxa"/>
            <w:vMerge w:val="restart"/>
          </w:tcPr>
          <w:p w:rsidR="00AE1D8D" w:rsidRPr="002D4CDB" w:rsidRDefault="00AE1D8D" w:rsidP="00610BAD">
            <w:pPr>
              <w:rPr>
                <w:rFonts w:asciiTheme="minorHAnsi" w:hAnsiTheme="minorHAnsi" w:cstheme="minorHAnsi"/>
                <w:sz w:val="18"/>
                <w:szCs w:val="18"/>
              </w:rPr>
            </w:pPr>
            <w:r>
              <w:rPr>
                <w:rFonts w:asciiTheme="minorHAnsi" w:hAnsiTheme="minorHAnsi" w:cstheme="minorHAnsi"/>
                <w:sz w:val="20"/>
                <w:szCs w:val="20"/>
              </w:rPr>
              <w:t>25</w:t>
            </w:r>
          </w:p>
        </w:tc>
        <w:tc>
          <w:tcPr>
            <w:tcW w:w="6378" w:type="dxa"/>
            <w:vMerge w:val="restart"/>
          </w:tcPr>
          <w:p w:rsidR="00AE1D8D" w:rsidRPr="00C30617" w:rsidDel="00E00461" w:rsidRDefault="00AE1D8D" w:rsidP="00B93A33">
            <w:pPr>
              <w:rPr>
                <w:rFonts w:cs="Times New Roman"/>
                <w:color w:val="000000" w:themeColor="text1"/>
                <w:sz w:val="18"/>
                <w:szCs w:val="18"/>
              </w:rPr>
            </w:pPr>
            <w:r w:rsidRPr="00C30617">
              <w:rPr>
                <w:rFonts w:asciiTheme="minorHAnsi" w:hAnsiTheme="minorHAnsi" w:cs="Times New Roman"/>
                <w:sz w:val="20"/>
                <w:szCs w:val="20"/>
              </w:rPr>
              <w:t>Osobitná podmienka pre žiadateľa realizujúceho veľký projekt</w:t>
            </w:r>
          </w:p>
        </w:tc>
        <w:tc>
          <w:tcPr>
            <w:tcW w:w="7229" w:type="dxa"/>
          </w:tcPr>
          <w:p w:rsidR="00AE1D8D" w:rsidRPr="002D4739" w:rsidRDefault="00AE1D8D"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2644AB">
              <w:rPr>
                <w:rFonts w:asciiTheme="minorHAnsi" w:hAnsiTheme="minorHAnsi" w:cs="Times New Roman"/>
                <w:b/>
                <w:sz w:val="20"/>
                <w:szCs w:val="20"/>
                <w:u w:val="single"/>
              </w:rPr>
              <w:t>8</w:t>
            </w:r>
          </w:p>
          <w:p w:rsidR="00AE1D8D" w:rsidRPr="00E8523D" w:rsidDel="00E00461" w:rsidRDefault="00AE1D8D" w:rsidP="008D2E66">
            <w:pPr>
              <w:rPr>
                <w:rFonts w:ascii="Arial Narrow" w:hAnsi="Arial Narrow"/>
                <w:b/>
                <w:color w:val="FF0000"/>
                <w:sz w:val="20"/>
                <w:szCs w:val="20"/>
              </w:rPr>
            </w:pPr>
            <w:r w:rsidRPr="0066188B">
              <w:rPr>
                <w:rFonts w:asciiTheme="minorHAnsi" w:hAnsiTheme="minorHAnsi"/>
                <w:b/>
                <w:sz w:val="20"/>
                <w:szCs w:val="20"/>
              </w:rPr>
              <w:t>Oznámenie vybraného veľkého projektu</w:t>
            </w:r>
            <w:r w:rsidR="008D2E66">
              <w:rPr>
                <w:rFonts w:asciiTheme="minorHAnsi" w:hAnsiTheme="minorHAnsi"/>
                <w:b/>
                <w:sz w:val="20"/>
                <w:szCs w:val="20"/>
              </w:rPr>
              <w:t xml:space="preserve">, </w:t>
            </w:r>
            <w:r w:rsidR="008D2E66" w:rsidRPr="002D4739">
              <w:rPr>
                <w:rFonts w:asciiTheme="minorHAnsi" w:hAnsiTheme="minorHAnsi" w:cs="Arial"/>
                <w:sz w:val="20"/>
                <w:szCs w:val="20"/>
              </w:rPr>
              <w:t>v</w:t>
            </w:r>
            <w:r w:rsidR="008D2E66">
              <w:rPr>
                <w:rFonts w:asciiTheme="minorHAnsi" w:hAnsiTheme="minorHAnsi" w:cs="Arial"/>
                <w:sz w:val="20"/>
                <w:szCs w:val="20"/>
              </w:rPr>
              <w:t xml:space="preserve"> prípade že sa aplikuje </w:t>
            </w:r>
            <w:r w:rsidR="008D2E66" w:rsidRPr="002D4739">
              <w:rPr>
                <w:rFonts w:asciiTheme="minorHAnsi" w:hAnsiTheme="minorHAnsi" w:cs="Arial"/>
                <w:sz w:val="20"/>
                <w:szCs w:val="20"/>
              </w:rPr>
              <w:t>člán</w:t>
            </w:r>
            <w:r w:rsidR="008D2E66">
              <w:rPr>
                <w:rFonts w:asciiTheme="minorHAnsi" w:hAnsiTheme="minorHAnsi" w:cs="Arial"/>
                <w:sz w:val="20"/>
                <w:szCs w:val="20"/>
              </w:rPr>
              <w:t>o</w:t>
            </w:r>
            <w:r w:rsidR="008D2E66" w:rsidRPr="002D4739">
              <w:rPr>
                <w:rFonts w:asciiTheme="minorHAnsi" w:hAnsiTheme="minorHAnsi" w:cs="Arial"/>
                <w:sz w:val="20"/>
                <w:szCs w:val="20"/>
              </w:rPr>
              <w:t xml:space="preserve">k </w:t>
            </w:r>
            <w:r w:rsidRPr="002D4739">
              <w:rPr>
                <w:rFonts w:asciiTheme="minorHAnsi" w:hAnsiTheme="minorHAnsi" w:cs="Arial"/>
                <w:sz w:val="20"/>
                <w:szCs w:val="20"/>
              </w:rPr>
              <w:t>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r>
              <w:rPr>
                <w:rFonts w:asciiTheme="minorHAnsi" w:hAnsiTheme="minorHAnsi" w:cs="Arial"/>
                <w:sz w:val="20"/>
                <w:szCs w:val="20"/>
              </w:rPr>
              <w:t xml:space="preserve"> </w:t>
            </w:r>
          </w:p>
        </w:tc>
      </w:tr>
      <w:tr w:rsidR="00AE1D8D" w:rsidRPr="002D4CDB" w:rsidTr="00D853A1">
        <w:trPr>
          <w:gridAfter w:val="1"/>
          <w:wAfter w:w="12" w:type="dxa"/>
          <w:trHeight w:val="367"/>
        </w:trPr>
        <w:tc>
          <w:tcPr>
            <w:tcW w:w="421" w:type="dxa"/>
            <w:vMerge/>
          </w:tcPr>
          <w:p w:rsidR="00AE1D8D" w:rsidRDefault="00AE1D8D" w:rsidP="00610BAD">
            <w:pPr>
              <w:rPr>
                <w:rFonts w:asciiTheme="minorHAnsi" w:hAnsiTheme="minorHAnsi" w:cstheme="minorHAnsi"/>
                <w:sz w:val="20"/>
                <w:szCs w:val="20"/>
              </w:rPr>
            </w:pPr>
          </w:p>
        </w:tc>
        <w:tc>
          <w:tcPr>
            <w:tcW w:w="6378" w:type="dxa"/>
            <w:vMerge/>
          </w:tcPr>
          <w:p w:rsidR="00AE1D8D" w:rsidRPr="00C30617" w:rsidRDefault="00AE1D8D" w:rsidP="00B93A33">
            <w:pPr>
              <w:rPr>
                <w:rFonts w:asciiTheme="minorHAnsi" w:hAnsiTheme="minorHAnsi" w:cs="Times New Roman"/>
                <w:sz w:val="20"/>
                <w:szCs w:val="20"/>
              </w:rPr>
            </w:pPr>
          </w:p>
        </w:tc>
        <w:tc>
          <w:tcPr>
            <w:tcW w:w="7229" w:type="dxa"/>
          </w:tcPr>
          <w:p w:rsidR="00AE1D8D" w:rsidRPr="002D4739" w:rsidRDefault="00AE1D8D" w:rsidP="00AE1D8D">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ED1640">
              <w:rPr>
                <w:rFonts w:asciiTheme="minorHAnsi" w:hAnsiTheme="minorHAnsi" w:cs="Times New Roman"/>
                <w:b/>
                <w:sz w:val="20"/>
                <w:szCs w:val="20"/>
                <w:u w:val="single"/>
              </w:rPr>
              <w:t>9</w:t>
            </w:r>
          </w:p>
          <w:p w:rsidR="00AE1D8D" w:rsidRPr="002D4739" w:rsidRDefault="00AE1D8D" w:rsidP="00AE1D8D">
            <w:pPr>
              <w:rPr>
                <w:rFonts w:asciiTheme="minorHAnsi" w:hAnsiTheme="minorHAnsi" w:cs="Times New Roman"/>
                <w:b/>
                <w:sz w:val="20"/>
                <w:szCs w:val="20"/>
                <w:u w:val="single"/>
              </w:rPr>
            </w:pPr>
            <w:r w:rsidRPr="002D4739">
              <w:rPr>
                <w:rFonts w:asciiTheme="minorHAnsi" w:hAnsiTheme="minorHAnsi"/>
                <w:b/>
                <w:sz w:val="20"/>
                <w:szCs w:val="20"/>
              </w:rPr>
              <w:t xml:space="preserve">Informácia o veľkom projekte </w:t>
            </w:r>
            <w:r w:rsidRPr="002D4739">
              <w:rPr>
                <w:rFonts w:asciiTheme="minorHAnsi" w:hAnsiTheme="minorHAnsi" w:cs="Arial"/>
                <w:sz w:val="20"/>
                <w:szCs w:val="20"/>
              </w:rPr>
              <w:t>v súlade s článkom 101 všeobecného nariadenia v slovenskom a anglickom jazyku</w:t>
            </w:r>
          </w:p>
        </w:tc>
      </w:tr>
      <w:tr w:rsidR="00E00461" w:rsidRPr="002D4CDB" w:rsidTr="00D853A1">
        <w:trPr>
          <w:gridAfter w:val="1"/>
          <w:wAfter w:w="12" w:type="dxa"/>
          <w:trHeight w:val="330"/>
        </w:trPr>
        <w:tc>
          <w:tcPr>
            <w:tcW w:w="421" w:type="dxa"/>
          </w:tcPr>
          <w:p w:rsidR="00E00461" w:rsidRPr="002D4CDB" w:rsidRDefault="00610BAD" w:rsidP="00B93A33">
            <w:pPr>
              <w:rPr>
                <w:rFonts w:asciiTheme="minorHAnsi" w:hAnsiTheme="minorHAnsi" w:cstheme="minorHAnsi"/>
                <w:sz w:val="18"/>
                <w:szCs w:val="18"/>
              </w:rPr>
            </w:pPr>
            <w:r>
              <w:rPr>
                <w:rFonts w:asciiTheme="minorHAnsi" w:hAnsiTheme="minorHAnsi" w:cstheme="minorHAnsi"/>
                <w:sz w:val="18"/>
                <w:szCs w:val="18"/>
              </w:rPr>
              <w:t>26</w:t>
            </w:r>
          </w:p>
        </w:tc>
        <w:tc>
          <w:tcPr>
            <w:tcW w:w="6378" w:type="dxa"/>
          </w:tcPr>
          <w:p w:rsidR="00E00461" w:rsidRPr="0094084B" w:rsidDel="00E00461" w:rsidRDefault="00E00461" w:rsidP="00B93A33">
            <w:pPr>
              <w:rPr>
                <w:rFonts w:cs="Times New Roman"/>
                <w:color w:val="000000" w:themeColor="text1"/>
                <w:sz w:val="18"/>
                <w:szCs w:val="18"/>
              </w:rPr>
            </w:pPr>
            <w:r w:rsidRPr="0094084B">
              <w:rPr>
                <w:rFonts w:asciiTheme="minorHAnsi" w:hAnsiTheme="minorHAnsi" w:cs="Times New Roman"/>
                <w:sz w:val="20"/>
                <w:szCs w:val="20"/>
              </w:rPr>
              <w:t>Podmienka, že žiadateľ má vypracovanú štúdiu realizovateľnosti</w:t>
            </w:r>
            <w:bookmarkStart w:id="0" w:name="_GoBack"/>
            <w:bookmarkEnd w:id="0"/>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610BAD">
              <w:rPr>
                <w:rFonts w:asciiTheme="minorHAnsi" w:hAnsiTheme="minorHAnsi" w:cs="Times New Roman"/>
                <w:b/>
                <w:sz w:val="20"/>
                <w:szCs w:val="20"/>
                <w:u w:val="single"/>
              </w:rPr>
              <w:t>č.</w:t>
            </w:r>
            <w:r w:rsidR="00ED1640">
              <w:rPr>
                <w:rFonts w:asciiTheme="minorHAnsi" w:hAnsiTheme="minorHAnsi" w:cs="Times New Roman"/>
                <w:b/>
                <w:sz w:val="20"/>
                <w:szCs w:val="20"/>
                <w:u w:val="single"/>
              </w:rPr>
              <w:t>20</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66188B">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66188B" w:rsidRDefault="005206F0" w:rsidP="0066188B">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66188B">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94084B">
      <w:rPr>
        <w:rFonts w:eastAsia="Times New Roman" w:cs="Times New Roman"/>
        <w:noProof/>
        <w:szCs w:val="24"/>
        <w:lang w:eastAsia="sk-SK"/>
      </w:rPr>
      <w:t>13</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3041E5BC" wp14:editId="6B173389">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4211197" wp14:editId="33ACD39B">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2434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644AB"/>
    <w:rsid w:val="00273057"/>
    <w:rsid w:val="00277E0F"/>
    <w:rsid w:val="00280F96"/>
    <w:rsid w:val="00285FFB"/>
    <w:rsid w:val="00297396"/>
    <w:rsid w:val="002A6EF9"/>
    <w:rsid w:val="002C4DEF"/>
    <w:rsid w:val="002D2503"/>
    <w:rsid w:val="002D4CDB"/>
    <w:rsid w:val="002E333C"/>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3F1E63"/>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E1820"/>
    <w:rsid w:val="005E4C1B"/>
    <w:rsid w:val="005F30B4"/>
    <w:rsid w:val="005F3DBD"/>
    <w:rsid w:val="00610BAD"/>
    <w:rsid w:val="006118BF"/>
    <w:rsid w:val="006135CB"/>
    <w:rsid w:val="00616F2A"/>
    <w:rsid w:val="00622C4C"/>
    <w:rsid w:val="006236C8"/>
    <w:rsid w:val="006500F5"/>
    <w:rsid w:val="0066188B"/>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B7050"/>
    <w:rsid w:val="007C0688"/>
    <w:rsid w:val="007C2E4A"/>
    <w:rsid w:val="007C53C0"/>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2E66"/>
    <w:rsid w:val="008D6D59"/>
    <w:rsid w:val="008F0949"/>
    <w:rsid w:val="008F3D66"/>
    <w:rsid w:val="00900594"/>
    <w:rsid w:val="0091485F"/>
    <w:rsid w:val="0091542F"/>
    <w:rsid w:val="0093580E"/>
    <w:rsid w:val="0094084B"/>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1D8D"/>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0617"/>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640"/>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BEF04D54-576A-44C8-A054-B7D054292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67ADC-D0A3-4FEC-9728-1FC747814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5077</Words>
  <Characters>28940</Characters>
  <Application>Microsoft Office Word</Application>
  <DocSecurity>0</DocSecurity>
  <Lines>241</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Bažík, Juraj</cp:lastModifiedBy>
  <cp:revision>15</cp:revision>
  <cp:lastPrinted>2014-11-06T07:47:00Z</cp:lastPrinted>
  <dcterms:created xsi:type="dcterms:W3CDTF">2016-01-24T18:48:00Z</dcterms:created>
  <dcterms:modified xsi:type="dcterms:W3CDTF">2016-02-04T16:57:00Z</dcterms:modified>
</cp:coreProperties>
</file>